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2020年</w:t>
      </w:r>
      <w:r>
        <w:rPr>
          <w:rFonts w:hint="eastAsia" w:ascii="方正小标宋简体" w:hAnsi="方正小标宋简体" w:eastAsia="方正小标宋简体" w:cs="方正小标宋简体"/>
          <w:b/>
          <w:sz w:val="44"/>
          <w:szCs w:val="44"/>
          <w:lang w:eastAsia="zh-CN"/>
        </w:rPr>
        <w:t>中秋国庆</w:t>
      </w:r>
      <w:r>
        <w:rPr>
          <w:rFonts w:hint="eastAsia" w:ascii="方正小标宋简体" w:hAnsi="方正小标宋简体" w:eastAsia="方正小标宋简体" w:cs="方正小标宋简体"/>
          <w:b/>
          <w:sz w:val="44"/>
          <w:szCs w:val="44"/>
        </w:rPr>
        <w:t>慰问品采购合同</w:t>
      </w:r>
    </w:p>
    <w:p>
      <w:pPr>
        <w:pStyle w:val="2"/>
      </w:pPr>
    </w:p>
    <w:p>
      <w:pPr>
        <w:spacing w:after="120" w:line="360" w:lineRule="auto"/>
        <w:ind w:firstLine="660" w:firstLineChars="300"/>
        <w:rPr>
          <w:rFonts w:ascii="宋体" w:hAnsi="宋体"/>
          <w:b/>
          <w:sz w:val="22"/>
          <w:u w:val="single"/>
        </w:rPr>
      </w:pPr>
      <w:r>
        <w:rPr>
          <w:rFonts w:ascii="宋体" w:hAnsi="宋体"/>
          <w:sz w:val="22"/>
          <w:u w:val="single"/>
        </w:rPr>
        <w:t xml:space="preserve">甲方： </w:t>
      </w:r>
      <w:r>
        <w:rPr>
          <w:rFonts w:hint="eastAsia" w:ascii="宋体" w:hAnsi="宋体"/>
          <w:b/>
          <w:sz w:val="22"/>
          <w:u w:val="single"/>
        </w:rPr>
        <w:t>广东省人民医院工会委员会</w:t>
      </w:r>
    </w:p>
    <w:p>
      <w:pPr>
        <w:spacing w:after="120" w:line="360" w:lineRule="auto"/>
        <w:ind w:firstLine="660" w:firstLineChars="300"/>
        <w:rPr>
          <w:rFonts w:hint="default" w:ascii="宋体" w:hAnsi="宋体" w:eastAsia="宋体"/>
          <w:b/>
          <w:sz w:val="22"/>
          <w:u w:val="single"/>
          <w:lang w:val="en-US" w:eastAsia="zh-CN"/>
        </w:rPr>
      </w:pPr>
      <w:r>
        <w:rPr>
          <w:rFonts w:ascii="宋体" w:hAnsi="宋体"/>
          <w:sz w:val="22"/>
          <w:u w:val="single"/>
        </w:rPr>
        <w:t>乙方：</w:t>
      </w:r>
      <w:r>
        <w:rPr>
          <w:rFonts w:hint="eastAsia" w:ascii="宋体" w:hAnsi="宋体"/>
          <w:sz w:val="22"/>
          <w:u w:val="single"/>
          <w:lang w:val="en-US" w:eastAsia="zh-CN"/>
        </w:rPr>
        <w:t xml:space="preserve">                         </w:t>
      </w:r>
    </w:p>
    <w:p>
      <w:pPr>
        <w:spacing w:after="120" w:line="360" w:lineRule="auto"/>
        <w:ind w:firstLine="440" w:firstLineChars="200"/>
        <w:rPr>
          <w:szCs w:val="22"/>
        </w:rPr>
      </w:pPr>
      <w:r>
        <w:rPr>
          <w:rFonts w:ascii="宋体" w:hAnsi="宋体"/>
          <w:sz w:val="22"/>
        </w:rPr>
        <w:t>甲方经</w:t>
      </w:r>
      <w:r>
        <w:rPr>
          <w:rFonts w:hint="eastAsia" w:ascii="宋体" w:hAnsi="宋体"/>
          <w:sz w:val="22"/>
        </w:rPr>
        <w:t>院内询价采购方式</w:t>
      </w:r>
      <w:r>
        <w:rPr>
          <w:rFonts w:ascii="宋体" w:hAnsi="宋体"/>
          <w:sz w:val="22"/>
        </w:rPr>
        <w:t>，确定乙方为</w:t>
      </w:r>
      <w:r>
        <w:rPr>
          <w:rFonts w:hint="eastAsia" w:ascii="宋体" w:hAnsi="宋体"/>
          <w:sz w:val="22"/>
        </w:rPr>
        <w:t>广东省人民医院工会2020年</w:t>
      </w:r>
      <w:r>
        <w:rPr>
          <w:rFonts w:hint="eastAsia" w:ascii="宋体" w:hAnsi="宋体"/>
          <w:sz w:val="22"/>
          <w:lang w:eastAsia="zh-CN"/>
        </w:rPr>
        <w:t>中秋国庆</w:t>
      </w:r>
      <w:r>
        <w:rPr>
          <w:rFonts w:hint="eastAsia" w:ascii="宋体" w:hAnsi="宋体"/>
          <w:sz w:val="22"/>
        </w:rPr>
        <w:t>慰问品采购</w:t>
      </w:r>
      <w:r>
        <w:rPr>
          <w:rFonts w:ascii="宋体" w:hAnsi="宋体"/>
          <w:sz w:val="22"/>
        </w:rPr>
        <w:t>项目的</w:t>
      </w:r>
      <w:r>
        <w:rPr>
          <w:rFonts w:hint="eastAsia" w:ascii="宋体" w:hAnsi="宋体"/>
          <w:sz w:val="22"/>
        </w:rPr>
        <w:t>成交供应商</w:t>
      </w:r>
      <w:r>
        <w:rPr>
          <w:rFonts w:ascii="宋体" w:hAnsi="宋体"/>
          <w:sz w:val="22"/>
        </w:rPr>
        <w:t>，</w:t>
      </w:r>
      <w:r>
        <w:rPr>
          <w:szCs w:val="22"/>
        </w:rPr>
        <w:t>根据《中华人民共和国合同法》及有关规定，</w:t>
      </w:r>
      <w:r>
        <w:rPr>
          <w:rFonts w:hint="eastAsia"/>
          <w:szCs w:val="22"/>
        </w:rPr>
        <w:t>甲、乙双方经协商确定，甲方向乙方订购下列货物及其服务，为明确双方责任和权利，特签订本合同，共同遵守。具体条款如下：</w:t>
      </w:r>
    </w:p>
    <w:p>
      <w:pPr>
        <w:spacing w:line="360" w:lineRule="auto"/>
        <w:ind w:left="275" w:leftChars="131" w:firstLine="103" w:firstLineChars="49"/>
        <w:outlineLvl w:val="1"/>
        <w:rPr>
          <w:rFonts w:ascii="宋体" w:hAnsi="宋体"/>
          <w:b/>
          <w:szCs w:val="28"/>
        </w:rPr>
      </w:pPr>
      <w:r>
        <w:rPr>
          <w:rFonts w:hint="eastAsia" w:ascii="宋体" w:hAnsi="宋体"/>
          <w:b/>
          <w:szCs w:val="28"/>
        </w:rPr>
        <w:t>一、合同标的</w:t>
      </w:r>
    </w:p>
    <w:p>
      <w:pPr>
        <w:ind w:left="840"/>
        <w:rPr>
          <w:rFonts w:ascii="宋体" w:hAnsi="宋体" w:cs="宋体"/>
          <w:szCs w:val="21"/>
        </w:rPr>
      </w:pPr>
      <w:r>
        <w:rPr>
          <w:rFonts w:hint="eastAsia" w:ascii="宋体" w:hAnsi="宋体" w:cs="宋体"/>
          <w:szCs w:val="21"/>
        </w:rPr>
        <w:t>乙方负责向甲方供应下表中所列产品。</w:t>
      </w:r>
    </w:p>
    <w:tbl>
      <w:tblPr>
        <w:tblStyle w:val="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9"/>
        <w:gridCol w:w="1863"/>
        <w:gridCol w:w="2328"/>
        <w:gridCol w:w="1344"/>
        <w:gridCol w:w="106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65" w:type="dxa"/>
            <w:vAlign w:val="center"/>
          </w:tcPr>
          <w:p>
            <w:pPr>
              <w:widowControl/>
              <w:jc w:val="center"/>
              <w:rPr>
                <w:rFonts w:ascii="宋体" w:hAnsi="宋体" w:cs="宋体"/>
                <w:b/>
                <w:kern w:val="0"/>
                <w:szCs w:val="21"/>
              </w:rPr>
            </w:pPr>
            <w:r>
              <w:rPr>
                <w:rFonts w:hint="eastAsia" w:ascii="宋体" w:hAnsi="宋体" w:cs="宋体"/>
                <w:b/>
                <w:kern w:val="0"/>
                <w:szCs w:val="21"/>
              </w:rPr>
              <w:t>采购类别</w:t>
            </w:r>
          </w:p>
        </w:tc>
        <w:tc>
          <w:tcPr>
            <w:tcW w:w="1089" w:type="dxa"/>
            <w:vAlign w:val="center"/>
          </w:tcPr>
          <w:p>
            <w:pPr>
              <w:widowControl/>
              <w:jc w:val="center"/>
              <w:rPr>
                <w:rFonts w:ascii="宋体" w:hAnsi="宋体" w:cs="宋体"/>
                <w:b/>
                <w:kern w:val="0"/>
                <w:szCs w:val="21"/>
              </w:rPr>
            </w:pPr>
            <w:r>
              <w:rPr>
                <w:rFonts w:hint="eastAsia" w:ascii="宋体" w:hAnsi="宋体" w:cs="宋体"/>
                <w:b/>
                <w:kern w:val="0"/>
                <w:szCs w:val="21"/>
              </w:rPr>
              <w:t>产品名称</w:t>
            </w:r>
          </w:p>
        </w:tc>
        <w:tc>
          <w:tcPr>
            <w:tcW w:w="1863" w:type="dxa"/>
            <w:vAlign w:val="center"/>
          </w:tcPr>
          <w:p>
            <w:pPr>
              <w:widowControl/>
              <w:jc w:val="center"/>
              <w:rPr>
                <w:rFonts w:ascii="宋体" w:hAnsi="宋体" w:cs="宋体"/>
                <w:b/>
                <w:kern w:val="0"/>
                <w:szCs w:val="21"/>
              </w:rPr>
            </w:pPr>
            <w:r>
              <w:rPr>
                <w:rFonts w:hint="eastAsia" w:ascii="宋体" w:hAnsi="宋体" w:cs="宋体"/>
                <w:b/>
                <w:kern w:val="0"/>
                <w:szCs w:val="21"/>
              </w:rPr>
              <w:t>品牌或产地</w:t>
            </w:r>
          </w:p>
        </w:tc>
        <w:tc>
          <w:tcPr>
            <w:tcW w:w="2328" w:type="dxa"/>
            <w:vAlign w:val="center"/>
          </w:tcPr>
          <w:p>
            <w:pPr>
              <w:widowControl/>
              <w:jc w:val="center"/>
              <w:rPr>
                <w:rFonts w:ascii="宋体" w:hAnsi="宋体" w:cs="宋体"/>
                <w:b/>
                <w:kern w:val="0"/>
                <w:szCs w:val="21"/>
              </w:rPr>
            </w:pPr>
            <w:r>
              <w:rPr>
                <w:rFonts w:hint="eastAsia" w:ascii="宋体" w:hAnsi="宋体" w:cs="宋体"/>
                <w:b/>
                <w:kern w:val="0"/>
                <w:szCs w:val="21"/>
              </w:rPr>
              <w:t>规格</w:t>
            </w:r>
          </w:p>
        </w:tc>
        <w:tc>
          <w:tcPr>
            <w:tcW w:w="1344" w:type="dxa"/>
            <w:vAlign w:val="center"/>
          </w:tcPr>
          <w:p>
            <w:pPr>
              <w:widowControl/>
              <w:jc w:val="center"/>
              <w:rPr>
                <w:rFonts w:ascii="宋体" w:hAnsi="宋体" w:cs="宋体"/>
                <w:b/>
                <w:kern w:val="0"/>
                <w:szCs w:val="21"/>
              </w:rPr>
            </w:pPr>
            <w:r>
              <w:rPr>
                <w:rFonts w:hint="eastAsia" w:ascii="宋体" w:hAnsi="宋体" w:cs="宋体"/>
                <w:b/>
                <w:kern w:val="0"/>
                <w:szCs w:val="21"/>
              </w:rPr>
              <w:t>报价（元）</w:t>
            </w:r>
          </w:p>
        </w:tc>
        <w:tc>
          <w:tcPr>
            <w:tcW w:w="1068" w:type="dxa"/>
            <w:vAlign w:val="center"/>
          </w:tcPr>
          <w:p>
            <w:pPr>
              <w:widowControl/>
              <w:jc w:val="center"/>
              <w:rPr>
                <w:rFonts w:ascii="宋体" w:hAnsi="宋体" w:cs="宋体"/>
                <w:b/>
                <w:kern w:val="0"/>
                <w:szCs w:val="21"/>
              </w:rPr>
            </w:pPr>
            <w:r>
              <w:rPr>
                <w:rFonts w:hint="eastAsia" w:ascii="宋体" w:hAnsi="宋体" w:cs="宋体"/>
                <w:b/>
                <w:kern w:val="0"/>
                <w:szCs w:val="21"/>
              </w:rPr>
              <w:t>套餐总价(元)</w:t>
            </w:r>
          </w:p>
        </w:tc>
        <w:tc>
          <w:tcPr>
            <w:tcW w:w="901" w:type="dxa"/>
            <w:vAlign w:val="center"/>
          </w:tcPr>
          <w:p>
            <w:pPr>
              <w:widowControl/>
              <w:jc w:val="center"/>
              <w:rPr>
                <w:rFonts w:ascii="宋体" w:hAnsi="宋体" w:cs="宋体"/>
                <w:b/>
                <w:kern w:val="0"/>
                <w:szCs w:val="21"/>
              </w:rPr>
            </w:pPr>
            <w:r>
              <w:rPr>
                <w:rFonts w:hint="eastAsia" w:ascii="宋体" w:hAnsi="宋体" w:cs="宋体"/>
                <w:b/>
                <w:kern w:val="0"/>
                <w:szCs w:val="21"/>
              </w:rPr>
              <w:t>数量及金额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65" w:type="dxa"/>
            <w:vMerge w:val="restart"/>
            <w:vAlign w:val="center"/>
          </w:tcPr>
          <w:p>
            <w:pPr>
              <w:widowControl/>
              <w:jc w:val="left"/>
              <w:rPr>
                <w:rFonts w:ascii="宋体" w:hAnsi="宋体" w:cs="宋体"/>
                <w:kern w:val="0"/>
                <w:szCs w:val="21"/>
              </w:rPr>
            </w:pPr>
            <w:r>
              <w:rPr>
                <w:rFonts w:hint="eastAsia" w:ascii="宋体" w:hAnsi="宋体" w:cs="宋体"/>
                <w:kern w:val="0"/>
                <w:szCs w:val="21"/>
                <w:lang w:eastAsia="zh-CN"/>
              </w:rPr>
              <w:t>中秋国庆</w:t>
            </w:r>
            <w:r>
              <w:rPr>
                <w:rFonts w:hint="eastAsia" w:ascii="宋体" w:hAnsi="宋体" w:cs="宋体"/>
                <w:kern w:val="0"/>
                <w:szCs w:val="21"/>
              </w:rPr>
              <w:t>慰问品</w:t>
            </w:r>
          </w:p>
        </w:tc>
        <w:tc>
          <w:tcPr>
            <w:tcW w:w="1089" w:type="dxa"/>
            <w:vAlign w:val="center"/>
          </w:tcPr>
          <w:p>
            <w:pPr>
              <w:jc w:val="center"/>
              <w:rPr>
                <w:rFonts w:ascii="宋体" w:hAnsi="宋体" w:cs="宋体"/>
                <w:kern w:val="0"/>
                <w:szCs w:val="21"/>
              </w:rPr>
            </w:pPr>
            <w:r>
              <w:rPr>
                <w:rFonts w:hint="eastAsia" w:ascii="宋体" w:hAnsi="宋体" w:cs="宋体"/>
                <w:kern w:val="0"/>
                <w:szCs w:val="21"/>
                <w:lang w:eastAsia="zh-CN"/>
              </w:rPr>
              <w:t>月饼</w:t>
            </w:r>
            <w:r>
              <w:rPr>
                <w:rFonts w:hint="eastAsia" w:ascii="宋体" w:hAnsi="宋体" w:cs="宋体"/>
                <w:kern w:val="0"/>
                <w:szCs w:val="21"/>
              </w:rPr>
              <w:t>礼盒</w:t>
            </w:r>
          </w:p>
        </w:tc>
        <w:tc>
          <w:tcPr>
            <w:tcW w:w="1863" w:type="dxa"/>
            <w:vAlign w:val="center"/>
          </w:tcPr>
          <w:p>
            <w:pPr>
              <w:widowControl/>
              <w:jc w:val="center"/>
              <w:rPr>
                <w:rFonts w:ascii="宋体" w:hAnsi="宋体" w:cs="宋体"/>
                <w:szCs w:val="21"/>
                <w:highlight w:val="none"/>
              </w:rPr>
            </w:pPr>
          </w:p>
        </w:tc>
        <w:tc>
          <w:tcPr>
            <w:tcW w:w="2328" w:type="dxa"/>
            <w:vAlign w:val="center"/>
          </w:tcPr>
          <w:p>
            <w:pPr>
              <w:widowControl/>
              <w:jc w:val="left"/>
              <w:rPr>
                <w:rFonts w:ascii="宋体" w:hAnsi="宋体" w:cs="宋体"/>
                <w:kern w:val="0"/>
                <w:szCs w:val="21"/>
                <w:highlight w:val="none"/>
              </w:rPr>
            </w:pPr>
          </w:p>
        </w:tc>
        <w:tc>
          <w:tcPr>
            <w:tcW w:w="1344" w:type="dxa"/>
            <w:vAlign w:val="center"/>
          </w:tcPr>
          <w:p>
            <w:pPr>
              <w:widowControl/>
              <w:jc w:val="center"/>
              <w:rPr>
                <w:rFonts w:ascii="宋体" w:hAnsi="宋体" w:cs="宋体"/>
                <w:kern w:val="0"/>
                <w:szCs w:val="21"/>
                <w:highlight w:val="none"/>
              </w:rPr>
            </w:pPr>
          </w:p>
        </w:tc>
        <w:tc>
          <w:tcPr>
            <w:tcW w:w="1068" w:type="dxa"/>
            <w:vMerge w:val="restart"/>
            <w:vAlign w:val="center"/>
          </w:tcPr>
          <w:p>
            <w:pPr>
              <w:widowControl/>
              <w:jc w:val="center"/>
              <w:rPr>
                <w:rFonts w:ascii="宋体" w:hAnsi="宋体" w:cs="宋体"/>
                <w:kern w:val="0"/>
                <w:szCs w:val="21"/>
                <w:highlight w:val="none"/>
              </w:rPr>
            </w:pPr>
          </w:p>
        </w:tc>
        <w:tc>
          <w:tcPr>
            <w:tcW w:w="901" w:type="dxa"/>
            <w:vMerge w:val="restart"/>
            <w:vAlign w:val="center"/>
          </w:tcPr>
          <w:p>
            <w:pPr>
              <w:widowControl/>
              <w:rPr>
                <w:rFonts w:ascii="宋体" w:hAnsi="宋体" w:cs="宋体"/>
                <w:kern w:val="0"/>
                <w:szCs w:val="21"/>
                <w:highlight w:val="none"/>
              </w:rPr>
            </w:pPr>
          </w:p>
          <w:p>
            <w:pPr>
              <w:widowControl/>
              <w:jc w:val="center"/>
              <w:rPr>
                <w:rFonts w:ascii="宋体" w:hAnsi="宋体" w:cs="宋体"/>
                <w:kern w:val="0"/>
                <w:szCs w:val="21"/>
                <w:highlight w:val="none"/>
              </w:rPr>
            </w:pPr>
            <w:r>
              <w:rPr>
                <w:rFonts w:hint="eastAsia" w:ascii="宋体" w:hAnsi="宋体" w:cs="宋体"/>
                <w:kern w:val="0"/>
                <w:szCs w:val="21"/>
                <w:highlight w:val="none"/>
              </w:rPr>
              <w:t>约</w:t>
            </w:r>
            <w:r>
              <w:rPr>
                <w:rFonts w:hint="eastAsia" w:ascii="宋体" w:hAnsi="宋体" w:cs="宋体"/>
                <w:kern w:val="0"/>
                <w:szCs w:val="21"/>
                <w:highlight w:val="none"/>
                <w:lang w:val="en-US" w:eastAsia="zh-CN"/>
              </w:rPr>
              <w:t>6100</w:t>
            </w:r>
            <w:r>
              <w:rPr>
                <w:rFonts w:hint="eastAsia" w:ascii="宋体" w:hAnsi="宋体" w:cs="宋体"/>
                <w:kern w:val="0"/>
                <w:szCs w:val="21"/>
                <w:highlight w:val="none"/>
              </w:rPr>
              <w:t>份</w:t>
            </w:r>
          </w:p>
          <w:p>
            <w:pPr>
              <w:widowControl/>
              <w:jc w:val="left"/>
              <w:rPr>
                <w:rFonts w:ascii="宋体" w:hAnsi="宋体" w:cs="宋体"/>
                <w:kern w:val="0"/>
                <w:szCs w:val="21"/>
                <w:highlight w:val="none"/>
              </w:rPr>
            </w:pPr>
            <w:r>
              <w:rPr>
                <w:rFonts w:hint="eastAsia" w:ascii="宋体" w:hAnsi="宋体" w:cs="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65" w:type="dxa"/>
            <w:vMerge w:val="continue"/>
            <w:vAlign w:val="center"/>
          </w:tcPr>
          <w:p>
            <w:pPr>
              <w:widowControl/>
              <w:jc w:val="left"/>
              <w:rPr>
                <w:rFonts w:ascii="宋体" w:hAnsi="宋体" w:cs="宋体"/>
                <w:kern w:val="0"/>
                <w:szCs w:val="21"/>
              </w:rPr>
            </w:pPr>
          </w:p>
        </w:tc>
        <w:tc>
          <w:tcPr>
            <w:tcW w:w="108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扶贫土鸡蛋</w:t>
            </w:r>
          </w:p>
        </w:tc>
        <w:tc>
          <w:tcPr>
            <w:tcW w:w="1863" w:type="dxa"/>
            <w:vAlign w:val="center"/>
          </w:tcPr>
          <w:p>
            <w:pPr>
              <w:widowControl/>
              <w:jc w:val="center"/>
              <w:rPr>
                <w:rFonts w:ascii="宋体" w:hAnsi="宋体" w:cs="宋体"/>
                <w:szCs w:val="21"/>
                <w:highlight w:val="none"/>
              </w:rPr>
            </w:pPr>
          </w:p>
        </w:tc>
        <w:tc>
          <w:tcPr>
            <w:tcW w:w="2328" w:type="dxa"/>
            <w:vAlign w:val="center"/>
          </w:tcPr>
          <w:p>
            <w:pPr>
              <w:widowControl/>
              <w:jc w:val="left"/>
              <w:rPr>
                <w:rFonts w:ascii="宋体" w:hAnsi="宋体" w:cs="宋体"/>
                <w:kern w:val="0"/>
                <w:szCs w:val="21"/>
                <w:highlight w:val="none"/>
              </w:rPr>
            </w:pPr>
          </w:p>
        </w:tc>
        <w:tc>
          <w:tcPr>
            <w:tcW w:w="1344" w:type="dxa"/>
            <w:vAlign w:val="center"/>
          </w:tcPr>
          <w:p>
            <w:pPr>
              <w:widowControl/>
              <w:jc w:val="center"/>
              <w:rPr>
                <w:rFonts w:ascii="宋体" w:hAnsi="宋体" w:cs="宋体"/>
                <w:kern w:val="0"/>
                <w:szCs w:val="21"/>
                <w:highlight w:val="none"/>
              </w:rPr>
            </w:pPr>
          </w:p>
        </w:tc>
        <w:tc>
          <w:tcPr>
            <w:tcW w:w="1068" w:type="dxa"/>
            <w:vMerge w:val="continue"/>
            <w:vAlign w:val="center"/>
          </w:tcPr>
          <w:p>
            <w:pPr>
              <w:widowControl/>
              <w:jc w:val="center"/>
              <w:rPr>
                <w:rFonts w:ascii="宋体" w:hAnsi="宋体" w:cs="宋体"/>
                <w:kern w:val="0"/>
                <w:szCs w:val="21"/>
                <w:highlight w:val="none"/>
              </w:rPr>
            </w:pPr>
          </w:p>
        </w:tc>
        <w:tc>
          <w:tcPr>
            <w:tcW w:w="901" w:type="dxa"/>
            <w:vMerge w:val="continue"/>
            <w:vAlign w:val="center"/>
          </w:tcPr>
          <w:p>
            <w:pPr>
              <w:widowControl/>
              <w:jc w:val="left"/>
              <w:rPr>
                <w:rFonts w:ascii="宋体" w:hAnsi="宋体" w:cs="宋体"/>
                <w:kern w:val="0"/>
                <w:szCs w:val="21"/>
                <w:highlight w:val="none"/>
              </w:rPr>
            </w:pPr>
          </w:p>
        </w:tc>
      </w:tr>
    </w:tbl>
    <w:p>
      <w:pPr>
        <w:rPr>
          <w:rFonts w:ascii="宋体" w:hAnsi="宋体" w:cs="宋体"/>
          <w:szCs w:val="21"/>
        </w:rPr>
      </w:pPr>
      <w:r>
        <w:rPr>
          <w:rFonts w:hint="eastAsia" w:ascii="宋体" w:hAnsi="宋体" w:cs="宋体"/>
          <w:szCs w:val="21"/>
        </w:rPr>
        <w:t>（以上物品数量为参考，实际采购数量视甲方的实际情况变化而变化，结算时按上述单价乘以甲方实际采购数量结算）</w:t>
      </w:r>
    </w:p>
    <w:p>
      <w:pPr>
        <w:spacing w:line="360" w:lineRule="auto"/>
        <w:ind w:left="275" w:leftChars="131" w:firstLine="103" w:firstLineChars="49"/>
        <w:outlineLvl w:val="1"/>
        <w:rPr>
          <w:rFonts w:ascii="宋体" w:hAnsi="宋体"/>
          <w:b/>
          <w:szCs w:val="28"/>
        </w:rPr>
      </w:pPr>
      <w:r>
        <w:rPr>
          <w:rFonts w:hint="eastAsia" w:ascii="宋体" w:hAnsi="宋体"/>
          <w:b/>
          <w:szCs w:val="28"/>
        </w:rPr>
        <w:t>二、交货期</w:t>
      </w:r>
    </w:p>
    <w:p>
      <w:pPr>
        <w:spacing w:line="360" w:lineRule="auto"/>
        <w:ind w:firstLine="420" w:firstLineChars="200"/>
        <w:rPr>
          <w:rFonts w:ascii="宋体" w:hAnsi="宋体"/>
        </w:rPr>
      </w:pPr>
      <w:r>
        <w:rPr>
          <w:rFonts w:hint="eastAsia" w:ascii="宋体" w:hAnsi="宋体" w:cs="宋体"/>
          <w:szCs w:val="21"/>
        </w:rPr>
        <w:t>乙方按甲方要求的供货数量交货，乙方备货期为</w:t>
      </w:r>
      <w:r>
        <w:rPr>
          <w:rFonts w:ascii="宋体" w:hAnsi="宋体" w:cs="宋体"/>
          <w:szCs w:val="21"/>
        </w:rPr>
        <w:t>10</w:t>
      </w:r>
      <w:r>
        <w:rPr>
          <w:rFonts w:hint="eastAsia" w:ascii="宋体" w:hAnsi="宋体" w:cs="宋体"/>
          <w:szCs w:val="21"/>
        </w:rPr>
        <w:t>个工作日，甲方确定供货时间后，应在确定的供货日</w:t>
      </w:r>
      <w:r>
        <w:rPr>
          <w:rFonts w:ascii="宋体" w:hAnsi="宋体" w:cs="宋体"/>
          <w:szCs w:val="21"/>
        </w:rPr>
        <w:t>十</w:t>
      </w:r>
      <w:r>
        <w:rPr>
          <w:rFonts w:hint="eastAsia" w:ascii="宋体" w:hAnsi="宋体" w:cs="宋体"/>
          <w:szCs w:val="21"/>
        </w:rPr>
        <w:t>个工作日前以书面形式告知乙方。乙方应严格按照甲方确定的供货时间送货至甲方指定的地点。</w:t>
      </w:r>
      <w:bookmarkStart w:id="20" w:name="_GoBack"/>
      <w:bookmarkEnd w:id="20"/>
    </w:p>
    <w:p>
      <w:pPr>
        <w:spacing w:line="360" w:lineRule="auto"/>
        <w:ind w:firstLine="413" w:firstLineChars="196"/>
        <w:outlineLvl w:val="1"/>
        <w:rPr>
          <w:rFonts w:ascii="宋体" w:hAnsi="宋体"/>
          <w:b/>
          <w:szCs w:val="28"/>
          <w:highlight w:val="none"/>
        </w:rPr>
      </w:pPr>
      <w:bookmarkStart w:id="0" w:name="_Toc350418144"/>
      <w:bookmarkStart w:id="1" w:name="_Toc384739150"/>
      <w:bookmarkStart w:id="2" w:name="_Toc385966041"/>
      <w:bookmarkStart w:id="3" w:name="_Toc354141573"/>
      <w:bookmarkStart w:id="4" w:name="_Toc353813479"/>
      <w:bookmarkStart w:id="5" w:name="_Toc385419549"/>
      <w:r>
        <w:rPr>
          <w:rFonts w:hint="eastAsia" w:ascii="宋体" w:hAnsi="宋体"/>
          <w:b/>
          <w:szCs w:val="28"/>
        </w:rPr>
        <w:t>三、</w:t>
      </w:r>
      <w:bookmarkEnd w:id="0"/>
      <w:bookmarkStart w:id="6" w:name="_Toc199222882"/>
      <w:r>
        <w:rPr>
          <w:rFonts w:hint="eastAsia" w:ascii="宋体" w:hAnsi="宋体"/>
          <w:b/>
          <w:szCs w:val="28"/>
        </w:rPr>
        <w:t>合同金额、结算</w:t>
      </w:r>
      <w:bookmarkEnd w:id="1"/>
      <w:bookmarkEnd w:id="2"/>
      <w:bookmarkEnd w:id="3"/>
      <w:bookmarkEnd w:id="4"/>
      <w:bookmarkEnd w:id="5"/>
      <w:r>
        <w:rPr>
          <w:rFonts w:hint="eastAsia" w:ascii="宋体" w:hAnsi="宋体"/>
          <w:b/>
          <w:szCs w:val="28"/>
        </w:rPr>
        <w:t>及付款方式</w:t>
      </w:r>
    </w:p>
    <w:p>
      <w:pPr>
        <w:tabs>
          <w:tab w:val="left" w:pos="360"/>
        </w:tabs>
        <w:adjustRightInd w:val="0"/>
        <w:snapToGrid w:val="0"/>
        <w:spacing w:line="360" w:lineRule="auto"/>
        <w:ind w:firstLine="420" w:firstLineChars="200"/>
        <w:rPr>
          <w:rFonts w:ascii="宋体" w:hAnsi="宋体" w:cs="宋体"/>
          <w:szCs w:val="21"/>
          <w:u w:val="single"/>
        </w:rPr>
      </w:pPr>
      <w:r>
        <w:rPr>
          <w:rFonts w:hint="eastAsia" w:ascii="宋体" w:hAnsi="宋体" w:cs="宋体"/>
          <w:szCs w:val="21"/>
          <w:highlight w:val="none"/>
        </w:rPr>
        <w:t>1、本合同总价按上表所列数量及供货单价计算暂定为：人民币</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元</w:t>
      </w:r>
      <w:r>
        <w:rPr>
          <w:rFonts w:hint="eastAsia" w:ascii="宋体" w:hAnsi="宋体" w:cs="宋体"/>
          <w:szCs w:val="21"/>
          <w:highlight w:val="none"/>
        </w:rPr>
        <w:t xml:space="preserve"> 。结算时按甲方实际采购数量进行结算。本合同单价包含设计、包装</w:t>
      </w:r>
      <w:r>
        <w:rPr>
          <w:rFonts w:hint="eastAsia" w:ascii="宋体" w:hAnsi="宋体" w:cs="宋体"/>
          <w:szCs w:val="21"/>
        </w:rPr>
        <w:t>、仓储、运输、验收和本合同货物及服务相关的所有含税费用。</w:t>
      </w:r>
      <w:r>
        <w:rPr>
          <w:rFonts w:hint="eastAsia" w:ascii="宋体" w:hAnsi="宋体"/>
          <w:szCs w:val="21"/>
        </w:rPr>
        <w:t>本合同执行期间合同单价不变。</w:t>
      </w:r>
    </w:p>
    <w:p>
      <w:pPr>
        <w:tabs>
          <w:tab w:val="left" w:pos="360"/>
        </w:tabs>
        <w:adjustRightInd w:val="0"/>
        <w:snapToGrid w:val="0"/>
        <w:spacing w:line="360" w:lineRule="auto"/>
        <w:ind w:firstLine="420" w:firstLineChars="200"/>
        <w:rPr>
          <w:rFonts w:ascii="宋体" w:hAnsi="宋体"/>
          <w:szCs w:val="21"/>
        </w:rPr>
      </w:pPr>
      <w:r>
        <w:rPr>
          <w:rFonts w:hint="eastAsia" w:ascii="宋体" w:hAnsi="宋体" w:cs="宋体"/>
          <w:szCs w:val="21"/>
        </w:rPr>
        <w:t>2、结算方式：乙方按甲方要求的供货数量交货，乙方将该批次货物全部送到甲方指定地点交付并完成验收工作。货物验收合格清单交甲方核对无误后，以该批货物实际采购数量与相应合同单价的乘积</w:t>
      </w:r>
      <w:r>
        <w:rPr>
          <w:rFonts w:hint="eastAsia" w:ascii="宋体" w:hAnsi="宋体"/>
          <w:szCs w:val="21"/>
        </w:rPr>
        <w:t>为结算价进行结算。</w:t>
      </w:r>
    </w:p>
    <w:p>
      <w:pPr>
        <w:spacing w:line="360" w:lineRule="auto"/>
        <w:ind w:firstLine="420"/>
        <w:rPr>
          <w:rFonts w:ascii="宋体" w:hAnsi="宋体"/>
          <w:b/>
          <w:kern w:val="0"/>
          <w:szCs w:val="21"/>
        </w:rPr>
      </w:pPr>
      <w:r>
        <w:rPr>
          <w:rFonts w:hint="eastAsia" w:ascii="宋体" w:hAnsi="宋体"/>
          <w:szCs w:val="21"/>
        </w:rPr>
        <w:t>3、付款方式：甲方收到</w:t>
      </w:r>
      <w:r>
        <w:rPr>
          <w:rFonts w:hint="eastAsia" w:cs="宋体"/>
        </w:rPr>
        <w:t>货物验收合格清单及乙方开具的合法发票后，经甲方审核</w:t>
      </w:r>
      <w:r>
        <w:rPr>
          <w:rFonts w:hint="eastAsia" w:ascii="宋体" w:hAnsi="宋体"/>
          <w:kern w:val="0"/>
          <w:szCs w:val="21"/>
        </w:rPr>
        <w:t>确认无误后1个月内向乙方一次性向乙方结清货款。</w:t>
      </w:r>
    </w:p>
    <w:p>
      <w:pPr>
        <w:tabs>
          <w:tab w:val="left" w:pos="360"/>
        </w:tabs>
        <w:adjustRightInd w:val="0"/>
        <w:snapToGrid w:val="0"/>
        <w:spacing w:line="360" w:lineRule="auto"/>
        <w:ind w:left="180"/>
        <w:rPr>
          <w:rFonts w:ascii="宋体" w:hAnsi="宋体"/>
          <w:szCs w:val="21"/>
        </w:rPr>
      </w:pPr>
      <w:r>
        <w:rPr>
          <w:rFonts w:hint="eastAsia" w:cs="宋体"/>
          <w:b/>
          <w:bCs/>
        </w:rPr>
        <w:t xml:space="preserve">  </w:t>
      </w:r>
      <w:r>
        <w:rPr>
          <w:rFonts w:hint="eastAsia" w:ascii="宋体" w:hAnsi="宋体"/>
          <w:szCs w:val="21"/>
        </w:rPr>
        <w:t>乙方收款账号</w:t>
      </w:r>
    </w:p>
    <w:p>
      <w:pPr>
        <w:autoSpaceDE w:val="0"/>
        <w:autoSpaceDN w:val="0"/>
        <w:adjustRightInd w:val="0"/>
        <w:snapToGrid w:val="0"/>
        <w:spacing w:line="360" w:lineRule="auto"/>
        <w:ind w:firstLine="420"/>
        <w:rPr>
          <w:rFonts w:hint="eastAsia" w:ascii="宋体" w:hAnsi="宋体" w:cs="宋体"/>
          <w:szCs w:val="21"/>
        </w:rPr>
      </w:pPr>
      <w:r>
        <w:rPr>
          <w:rFonts w:hint="eastAsia" w:ascii="宋体" w:hAnsi="宋体" w:cs="宋体"/>
          <w:szCs w:val="21"/>
        </w:rPr>
        <w:t>户名：</w:t>
      </w:r>
    </w:p>
    <w:p>
      <w:pPr>
        <w:autoSpaceDE w:val="0"/>
        <w:autoSpaceDN w:val="0"/>
        <w:adjustRightInd w:val="0"/>
        <w:snapToGrid w:val="0"/>
        <w:spacing w:line="360" w:lineRule="auto"/>
        <w:ind w:firstLine="420"/>
        <w:rPr>
          <w:rFonts w:hint="eastAsia" w:ascii="宋体" w:hAnsi="宋体" w:cs="宋体"/>
          <w:szCs w:val="21"/>
        </w:rPr>
      </w:pPr>
      <w:r>
        <w:rPr>
          <w:rFonts w:hint="eastAsia" w:ascii="宋体" w:hAnsi="宋体" w:cs="宋体"/>
          <w:szCs w:val="21"/>
        </w:rPr>
        <w:t>开户行</w:t>
      </w:r>
    </w:p>
    <w:p>
      <w:pPr>
        <w:autoSpaceDE w:val="0"/>
        <w:autoSpaceDN w:val="0"/>
        <w:adjustRightInd w:val="0"/>
        <w:snapToGrid w:val="0"/>
        <w:spacing w:line="360" w:lineRule="auto"/>
        <w:ind w:firstLine="420"/>
        <w:rPr>
          <w:rFonts w:ascii="宋体" w:hAnsi="宋体" w:cs="宋体"/>
          <w:szCs w:val="21"/>
          <w:u w:val="single"/>
        </w:rPr>
      </w:pPr>
      <w:r>
        <w:rPr>
          <w:rFonts w:hint="eastAsia" w:ascii="宋体" w:hAnsi="宋体" w:cs="宋体"/>
          <w:szCs w:val="21"/>
        </w:rPr>
        <w:t>账号：</w:t>
      </w:r>
    </w:p>
    <w:bookmarkEnd w:id="6"/>
    <w:p>
      <w:pPr>
        <w:tabs>
          <w:tab w:val="left" w:pos="0"/>
          <w:tab w:val="left" w:pos="705"/>
        </w:tabs>
        <w:spacing w:line="460" w:lineRule="exact"/>
        <w:ind w:right="-178" w:rightChars="-85" w:firstLine="421"/>
        <w:rPr>
          <w:rFonts w:ascii="宋体" w:hAnsi="宋体"/>
          <w:bCs/>
          <w:szCs w:val="21"/>
        </w:rPr>
      </w:pPr>
      <w:bookmarkStart w:id="7" w:name="_Toc385419551"/>
      <w:bookmarkStart w:id="8" w:name="_Toc353813481"/>
      <w:bookmarkStart w:id="9" w:name="_Toc199222886"/>
      <w:bookmarkStart w:id="10" w:name="_Toc354141575"/>
      <w:bookmarkStart w:id="11" w:name="_Toc385966043"/>
      <w:bookmarkStart w:id="12" w:name="_Toc350418146"/>
      <w:bookmarkStart w:id="13" w:name="_Toc384739152"/>
      <w:r>
        <w:rPr>
          <w:rFonts w:hint="eastAsia" w:ascii="宋体" w:hAnsi="宋体"/>
          <w:bCs/>
          <w:szCs w:val="21"/>
        </w:rPr>
        <w:t>乙方保证所提供的账户信息合法真实、准确、有效，如因乙方提供的账户信息存在错误或已失效等情形所导致的全部责任均由乙方自行承担，与甲方无关。</w:t>
      </w:r>
    </w:p>
    <w:p>
      <w:pPr>
        <w:tabs>
          <w:tab w:val="left" w:pos="0"/>
          <w:tab w:val="left" w:pos="705"/>
        </w:tabs>
        <w:spacing w:line="460" w:lineRule="exact"/>
        <w:ind w:right="-178" w:rightChars="-85" w:firstLine="421"/>
        <w:rPr>
          <w:rFonts w:ascii="宋体" w:hAnsi="宋体"/>
          <w:bCs/>
          <w:szCs w:val="21"/>
        </w:rPr>
      </w:pPr>
      <w:r>
        <w:rPr>
          <w:rFonts w:hint="eastAsia" w:ascii="宋体" w:hAnsi="宋体"/>
          <w:bCs/>
          <w:szCs w:val="21"/>
        </w:rPr>
        <w:t>4、乙方向甲方提供相应金额的正式、合法发票后甲方才支付款项。</w:t>
      </w:r>
    </w:p>
    <w:p>
      <w:pPr>
        <w:tabs>
          <w:tab w:val="left" w:pos="0"/>
          <w:tab w:val="left" w:pos="705"/>
        </w:tabs>
        <w:spacing w:line="460" w:lineRule="exact"/>
        <w:ind w:right="-178" w:rightChars="-85" w:firstLine="421"/>
        <w:rPr>
          <w:rFonts w:ascii="宋体" w:hAnsi="宋体"/>
          <w:bCs/>
          <w:szCs w:val="21"/>
        </w:rPr>
      </w:pPr>
      <w:r>
        <w:rPr>
          <w:rFonts w:hint="eastAsia" w:ascii="宋体" w:hAnsi="宋体"/>
          <w:bCs/>
          <w:szCs w:val="21"/>
        </w:rPr>
        <w:t>5、乙方延迟提交相关支付材料以及发票的，甲方付款日期顺延。</w:t>
      </w:r>
    </w:p>
    <w:p>
      <w:pPr>
        <w:tabs>
          <w:tab w:val="left" w:pos="0"/>
          <w:tab w:val="left" w:pos="705"/>
        </w:tabs>
        <w:spacing w:line="460" w:lineRule="exact"/>
        <w:ind w:right="-178" w:rightChars="-85" w:firstLine="421"/>
        <w:rPr>
          <w:rFonts w:ascii="宋体" w:hAnsi="宋体"/>
          <w:b/>
          <w:bCs/>
          <w:szCs w:val="21"/>
        </w:rPr>
      </w:pPr>
      <w:r>
        <w:rPr>
          <w:rFonts w:hint="eastAsia" w:ascii="宋体" w:hAnsi="宋体"/>
          <w:b/>
          <w:bCs/>
          <w:szCs w:val="21"/>
        </w:rPr>
        <w:t>四、服务要求</w:t>
      </w:r>
    </w:p>
    <w:p>
      <w:pPr>
        <w:widowControl/>
        <w:spacing w:line="460" w:lineRule="exact"/>
        <w:ind w:firstLine="420" w:firstLineChars="200"/>
        <w:jc w:val="left"/>
        <w:rPr>
          <w:szCs w:val="22"/>
        </w:rPr>
      </w:pPr>
      <w:r>
        <w:rPr>
          <w:szCs w:val="22"/>
        </w:rPr>
        <w:t>1、乙方</w:t>
      </w:r>
      <w:r>
        <w:rPr>
          <w:rFonts w:hint="eastAsia"/>
          <w:szCs w:val="22"/>
        </w:rPr>
        <w:t>须</w:t>
      </w:r>
      <w:r>
        <w:rPr>
          <w:szCs w:val="22"/>
        </w:rPr>
        <w:t>根据甲方的要求，提供</w:t>
      </w:r>
      <w:r>
        <w:rPr>
          <w:rFonts w:hint="eastAsia"/>
          <w:szCs w:val="22"/>
        </w:rPr>
        <w:t>符合合同要求</w:t>
      </w:r>
      <w:r>
        <w:rPr>
          <w:szCs w:val="22"/>
        </w:rPr>
        <w:t>的物品，确保其来源的合法性，</w:t>
      </w:r>
      <w:r>
        <w:rPr>
          <w:rFonts w:hint="eastAsia"/>
          <w:szCs w:val="22"/>
        </w:rPr>
        <w:t>并</w:t>
      </w:r>
      <w:r>
        <w:rPr>
          <w:szCs w:val="22"/>
        </w:rPr>
        <w:t>提供</w:t>
      </w:r>
      <w:r>
        <w:rPr>
          <w:rFonts w:hint="eastAsia"/>
          <w:szCs w:val="22"/>
        </w:rPr>
        <w:t>所供货物的</w:t>
      </w:r>
      <w:r>
        <w:rPr>
          <w:szCs w:val="22"/>
        </w:rPr>
        <w:t>合格证书、质检报告等。</w:t>
      </w:r>
    </w:p>
    <w:p>
      <w:pPr>
        <w:widowControl/>
        <w:spacing w:line="460" w:lineRule="exact"/>
        <w:jc w:val="left"/>
        <w:rPr>
          <w:rFonts w:ascii="宋体" w:hAnsi="宋体"/>
          <w:szCs w:val="21"/>
        </w:rPr>
      </w:pPr>
      <w:r>
        <w:rPr>
          <w:rFonts w:hint="eastAsia"/>
          <w:szCs w:val="22"/>
        </w:rPr>
        <w:t xml:space="preserve">     2、</w:t>
      </w:r>
      <w:r>
        <w:rPr>
          <w:rFonts w:hint="eastAsia" w:ascii="宋体" w:hAnsi="宋体"/>
          <w:szCs w:val="21"/>
        </w:rPr>
        <w:t>乙方的实际供货价是以其成交时的供货价为执行标准。在实际供应过程中不得以任何理由调整价格。</w:t>
      </w:r>
    </w:p>
    <w:p>
      <w:pPr>
        <w:widowControl/>
        <w:spacing w:line="460" w:lineRule="exact"/>
        <w:jc w:val="left"/>
        <w:rPr>
          <w:rFonts w:ascii="宋体" w:hAnsi="宋体"/>
          <w:szCs w:val="21"/>
        </w:rPr>
      </w:pPr>
      <w:r>
        <w:rPr>
          <w:rFonts w:hint="eastAsia" w:ascii="宋体" w:hAnsi="宋体"/>
          <w:szCs w:val="21"/>
        </w:rPr>
        <w:t xml:space="preserve">     3、乙方应按甲方的要求，</w:t>
      </w:r>
      <w:r>
        <w:rPr>
          <w:rFonts w:hint="eastAsia" w:ascii="宋体" w:hAnsi="宋体" w:cs="宋体"/>
          <w:szCs w:val="21"/>
          <w:highlight w:val="none"/>
        </w:rPr>
        <w:t>在2020年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日至2020年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日送货到指定地方（医院总部及各分院、各科室），提供</w:t>
      </w:r>
      <w:r>
        <w:rPr>
          <w:rFonts w:hint="eastAsia" w:ascii="宋体" w:hAnsi="宋体" w:cs="宋体"/>
          <w:szCs w:val="21"/>
          <w:highlight w:val="none"/>
          <w:lang w:val="en-US" w:eastAsia="zh-CN"/>
        </w:rPr>
        <w:t>5</w:t>
      </w:r>
      <w:r>
        <w:rPr>
          <w:rFonts w:hint="eastAsia" w:ascii="宋体" w:hAnsi="宋体" w:cs="宋体"/>
          <w:szCs w:val="21"/>
          <w:highlight w:val="none"/>
        </w:rPr>
        <w:t>个工作日的定点派送服务（至少</w:t>
      </w:r>
      <w:r>
        <w:rPr>
          <w:rFonts w:hint="eastAsia" w:ascii="宋体" w:hAnsi="宋体" w:cs="宋体"/>
          <w:szCs w:val="21"/>
          <w:highlight w:val="none"/>
          <w:lang w:val="en-US" w:eastAsia="zh-CN"/>
        </w:rPr>
        <w:t>5</w:t>
      </w:r>
      <w:r>
        <w:rPr>
          <w:rFonts w:hint="eastAsia" w:ascii="宋体" w:hAnsi="宋体" w:cs="宋体"/>
          <w:szCs w:val="21"/>
          <w:highlight w:val="none"/>
        </w:rPr>
        <w:t>名工作人员、每天服务8小时），</w:t>
      </w:r>
      <w:r>
        <w:rPr>
          <w:rFonts w:hint="eastAsia" w:ascii="宋体" w:hAnsi="宋体"/>
          <w:szCs w:val="21"/>
          <w:highlight w:val="none"/>
        </w:rPr>
        <w:t>在组织货物供应的运输费、搬运费、税</w:t>
      </w:r>
      <w:r>
        <w:rPr>
          <w:rFonts w:hint="eastAsia" w:ascii="宋体" w:hAnsi="宋体"/>
          <w:szCs w:val="21"/>
        </w:rPr>
        <w:t>金等一切费用由乙方承担，乙方随货送上一式两份的送货清单，供双方验货后签字确认，双方各持一份，作为送、收货的凭证。</w:t>
      </w:r>
    </w:p>
    <w:p>
      <w:pPr>
        <w:widowControl/>
        <w:spacing w:line="460" w:lineRule="exact"/>
        <w:ind w:right="-171" w:firstLine="422" w:firstLineChars="200"/>
        <w:jc w:val="left"/>
        <w:rPr>
          <w:rFonts w:ascii="宋体" w:hAnsi="宋体"/>
          <w:b/>
          <w:bCs/>
          <w:szCs w:val="21"/>
        </w:rPr>
      </w:pPr>
      <w:r>
        <w:rPr>
          <w:rFonts w:hint="eastAsia" w:ascii="宋体" w:hAnsi="宋体"/>
          <w:b/>
          <w:bCs/>
          <w:szCs w:val="21"/>
        </w:rPr>
        <w:t>五、质量要求</w:t>
      </w:r>
    </w:p>
    <w:p>
      <w:pPr>
        <w:spacing w:line="360" w:lineRule="auto"/>
        <w:ind w:firstLine="420" w:firstLineChars="200"/>
        <w:rPr>
          <w:rFonts w:ascii="宋体" w:hAnsi="宋体"/>
          <w:szCs w:val="21"/>
        </w:rPr>
      </w:pPr>
      <w:r>
        <w:rPr>
          <w:rFonts w:hint="eastAsia" w:ascii="宋体" w:hAnsi="宋体"/>
          <w:szCs w:val="21"/>
        </w:rPr>
        <w:t xml:space="preserve"> 1、货物必须符合国家卫生标准及招标文件用户需求的要求，其</w:t>
      </w:r>
      <w:r>
        <w:rPr>
          <w:rFonts w:hint="eastAsia" w:ascii="宋体" w:hAnsi="宋体" w:cs="宋体"/>
          <w:szCs w:val="21"/>
        </w:rPr>
        <w:t>剩余保质期在甲方收到货物时应不少于三分之二，</w:t>
      </w:r>
      <w:r>
        <w:rPr>
          <w:rFonts w:hint="eastAsia" w:ascii="宋体" w:hAnsi="宋体"/>
          <w:szCs w:val="21"/>
        </w:rPr>
        <w:t>不得变质、混有异物或者其他感官性异常，并不得含有可能对人体健康有害的物质。乙方在供应过程中，如果发生出现质量问题或造成食物中毒，如变质等情况，经查实后确属乙方责任，乙方应承担全部责任，主要包括食物中毒人员医疗费、误工费、事故处理费等，直至追究刑事责任。</w:t>
      </w:r>
    </w:p>
    <w:p>
      <w:pPr>
        <w:widowControl/>
        <w:spacing w:line="460" w:lineRule="exact"/>
        <w:ind w:firstLine="405"/>
        <w:jc w:val="left"/>
        <w:rPr>
          <w:rFonts w:ascii="宋体" w:hAnsi="宋体" w:cs="SimSun-Identity-H"/>
          <w:b/>
          <w:bCs/>
          <w:kern w:val="0"/>
          <w:szCs w:val="21"/>
        </w:rPr>
      </w:pPr>
      <w:r>
        <w:rPr>
          <w:rFonts w:hint="eastAsia" w:ascii="宋体" w:hAnsi="宋体"/>
          <w:szCs w:val="21"/>
        </w:rPr>
        <w:t>2、</w:t>
      </w:r>
      <w:bookmarkEnd w:id="7"/>
      <w:bookmarkEnd w:id="8"/>
      <w:bookmarkEnd w:id="9"/>
      <w:bookmarkEnd w:id="10"/>
      <w:bookmarkEnd w:id="11"/>
      <w:bookmarkEnd w:id="12"/>
      <w:bookmarkEnd w:id="13"/>
      <w:bookmarkStart w:id="14" w:name="_Toc354141581"/>
      <w:bookmarkStart w:id="15" w:name="_Toc385419557"/>
      <w:bookmarkStart w:id="16" w:name="_Toc384739158"/>
      <w:bookmarkStart w:id="17" w:name="_Toc385966049"/>
      <w:bookmarkStart w:id="18" w:name="_Toc350418153"/>
      <w:bookmarkStart w:id="19" w:name="_Toc353813487"/>
      <w:r>
        <w:rPr>
          <w:rFonts w:hint="eastAsia" w:ascii="宋体" w:hAnsi="宋体"/>
          <w:szCs w:val="21"/>
        </w:rPr>
        <w:t>乙方供应过期产品或以次充好产品，甲方有权拒收，并责令其在规定的时间内重新送货；若无法在规定时间内重新送货，按本合同违约责任的第二款处理，所发生经济损失由乙方负责。</w:t>
      </w:r>
    </w:p>
    <w:p>
      <w:pPr>
        <w:widowControl/>
        <w:spacing w:line="460" w:lineRule="exact"/>
        <w:ind w:firstLine="405"/>
        <w:jc w:val="left"/>
        <w:rPr>
          <w:rFonts w:ascii="宋体" w:hAnsi="宋体" w:cs="SimSun-Identity-H"/>
          <w:b/>
          <w:bCs/>
          <w:kern w:val="0"/>
          <w:szCs w:val="21"/>
        </w:rPr>
      </w:pPr>
      <w:r>
        <w:rPr>
          <w:rFonts w:hint="eastAsia" w:ascii="宋体" w:hAnsi="宋体" w:cs="SimSun-Identity-H"/>
          <w:b/>
          <w:bCs/>
          <w:kern w:val="0"/>
          <w:szCs w:val="21"/>
        </w:rPr>
        <w:t>六、验收</w:t>
      </w:r>
    </w:p>
    <w:p>
      <w:pPr>
        <w:widowControl/>
        <w:spacing w:line="460" w:lineRule="exact"/>
        <w:ind w:firstLine="405"/>
        <w:jc w:val="left"/>
        <w:rPr>
          <w:rFonts w:ascii="宋体" w:hAnsi="宋体" w:cs="SimSun-Identity-H"/>
          <w:bCs/>
          <w:kern w:val="0"/>
          <w:szCs w:val="21"/>
        </w:rPr>
      </w:pPr>
      <w:r>
        <w:rPr>
          <w:rFonts w:hint="eastAsia" w:ascii="宋体" w:hAnsi="宋体" w:cs="SimSun-Identity-H"/>
          <w:bCs/>
          <w:kern w:val="0"/>
          <w:szCs w:val="21"/>
        </w:rPr>
        <w:t>1、货物在抵达甲方指定目的地后，应在甲乙双方的共同参与下对货物进行验收，如发现货物</w:t>
      </w:r>
      <w:r>
        <w:rPr>
          <w:rFonts w:ascii="宋体" w:hAnsi="宋体" w:cs="SimSun-Identity-H"/>
          <w:bCs/>
          <w:kern w:val="0"/>
          <w:szCs w:val="21"/>
        </w:rPr>
        <w:t>的规格、数量、质量与合同约定的标准不符或与甲方要求不符，甲方有权拒收，要求退货或换货，乙方应按照甲方要求立刻安排补足或更换，并承担因此产生的所有责任与费用。</w:t>
      </w:r>
    </w:p>
    <w:p>
      <w:pPr>
        <w:widowControl/>
        <w:spacing w:line="460" w:lineRule="exact"/>
        <w:ind w:firstLine="420" w:firstLineChars="200"/>
        <w:jc w:val="left"/>
        <w:rPr>
          <w:rFonts w:ascii="宋体" w:hAnsi="宋体" w:cs="SimSun-Identity-H"/>
          <w:bCs/>
          <w:kern w:val="0"/>
          <w:szCs w:val="21"/>
        </w:rPr>
      </w:pPr>
      <w:r>
        <w:rPr>
          <w:rFonts w:hint="eastAsia" w:ascii="宋体" w:hAnsi="宋体" w:cs="SimSun-Identity-H"/>
          <w:bCs/>
          <w:kern w:val="0"/>
          <w:szCs w:val="21"/>
        </w:rPr>
        <w:t>2、货物经验收合格后，由甲乙双方在货物验收合格清单上签字，经双方确认的货物验收合格清单将作为甲方向乙方付款的依据之一。</w:t>
      </w:r>
    </w:p>
    <w:p>
      <w:pPr>
        <w:widowControl/>
        <w:spacing w:line="460" w:lineRule="exact"/>
        <w:ind w:firstLine="405"/>
        <w:jc w:val="left"/>
        <w:rPr>
          <w:rFonts w:ascii="宋体" w:hAnsi="宋体"/>
          <w:b/>
          <w:bCs/>
          <w:szCs w:val="22"/>
        </w:rPr>
      </w:pPr>
      <w:r>
        <w:rPr>
          <w:rFonts w:hint="eastAsia" w:ascii="宋体" w:hAnsi="宋体" w:cs="SimSun-Identity-H"/>
          <w:b/>
          <w:bCs/>
          <w:kern w:val="0"/>
          <w:szCs w:val="21"/>
        </w:rPr>
        <w:t>七、违约责任</w:t>
      </w:r>
    </w:p>
    <w:p>
      <w:pPr>
        <w:tabs>
          <w:tab w:val="left" w:pos="360"/>
        </w:tabs>
        <w:spacing w:line="360" w:lineRule="auto"/>
        <w:ind w:firstLine="420" w:firstLineChars="200"/>
        <w:rPr>
          <w:rFonts w:ascii="宋体" w:hAnsi="宋体"/>
          <w:szCs w:val="22"/>
        </w:rPr>
      </w:pPr>
      <w:r>
        <w:rPr>
          <w:rFonts w:hint="eastAsia" w:ascii="宋体" w:hAnsi="宋体"/>
          <w:szCs w:val="22"/>
        </w:rPr>
        <w:t xml:space="preserve"> 1、乙方交货的数量短少、品种、规格或者质量等不符合合同约定或订货要求的，甲方有权拒收并要求乙方补足或更换，乙方应补足或重新交货，因此而造成的迟延交货责任由乙方承担。乙方如无法在规定时间内重新送货，按本合同违约责任的第二款处理。</w:t>
      </w:r>
    </w:p>
    <w:p>
      <w:pPr>
        <w:tabs>
          <w:tab w:val="left" w:pos="360"/>
        </w:tabs>
        <w:spacing w:line="360" w:lineRule="auto"/>
        <w:ind w:firstLine="420" w:firstLineChars="200"/>
        <w:rPr>
          <w:rFonts w:ascii="宋体" w:hAnsi="宋体"/>
          <w:szCs w:val="22"/>
        </w:rPr>
      </w:pPr>
      <w:r>
        <w:rPr>
          <w:rFonts w:hint="eastAsia" w:ascii="宋体" w:hAnsi="宋体"/>
          <w:szCs w:val="22"/>
        </w:rPr>
        <w:t>2、因乙方的原因未按甲方指定时间交货的，乙方每逾期一日向甲方支付逾期部分货款总值的 3 ‰的违约金,逾期超过5日的,甲方有权解除合同，乙方应返还甲方已支付款项，并向甲方支付合同总价30%的违约金，同时承担因此给甲方造成的所有损失。</w:t>
      </w:r>
    </w:p>
    <w:p>
      <w:pPr>
        <w:tabs>
          <w:tab w:val="left" w:pos="360"/>
        </w:tabs>
        <w:spacing w:line="360" w:lineRule="auto"/>
        <w:ind w:firstLine="420" w:firstLineChars="200"/>
        <w:rPr>
          <w:rFonts w:ascii="宋体" w:hAnsi="宋体"/>
          <w:szCs w:val="22"/>
        </w:rPr>
      </w:pPr>
      <w:r>
        <w:rPr>
          <w:rFonts w:hint="eastAsia" w:ascii="宋体" w:hAnsi="宋体"/>
          <w:szCs w:val="22"/>
        </w:rPr>
        <w:t>3、乙方出现供货能力不足的现象以至无继续履约能力的，或擅自将与甲方签订的供货项目提供给其他供应商的，乙方须按合同暂定总价的10%向甲方支付违约金，同时，甲方有权单方面终止合同，如因此给甲方造成损失的，由乙方承担全部赔偿责任。</w:t>
      </w:r>
    </w:p>
    <w:p>
      <w:pPr>
        <w:tabs>
          <w:tab w:val="left" w:pos="360"/>
        </w:tabs>
        <w:spacing w:line="360" w:lineRule="auto"/>
        <w:ind w:firstLine="420" w:firstLineChars="200"/>
        <w:rPr>
          <w:rFonts w:ascii="宋体" w:hAnsi="宋体"/>
          <w:szCs w:val="22"/>
        </w:rPr>
      </w:pPr>
      <w:r>
        <w:rPr>
          <w:rFonts w:hint="eastAsia" w:ascii="宋体" w:hAnsi="宋体"/>
          <w:szCs w:val="22"/>
        </w:rPr>
        <w:t>4、乙方交付的货品（包括但不限于规格、卫生质量标准等）与合同规定不符时，甲方有权立即拒收，并由乙方向甲方支付该批货物总值的10%的违约金，甲方有权单方面终止合同，如因此给甲方造成损失的，由乙方向甲方承担全部赔偿责任。</w:t>
      </w:r>
    </w:p>
    <w:p>
      <w:pPr>
        <w:tabs>
          <w:tab w:val="left" w:pos="360"/>
        </w:tabs>
        <w:spacing w:line="360" w:lineRule="auto"/>
        <w:ind w:firstLine="420" w:firstLineChars="200"/>
        <w:rPr>
          <w:rFonts w:ascii="宋体" w:hAnsi="宋体"/>
          <w:szCs w:val="22"/>
        </w:rPr>
      </w:pPr>
      <w:r>
        <w:rPr>
          <w:rFonts w:hint="eastAsia" w:ascii="宋体" w:hAnsi="宋体"/>
          <w:szCs w:val="22"/>
        </w:rPr>
        <w:t>5、乙方如经有关部门证明确因不可抗力无法按时交货，应当在不可抗力事由发生当日书面通知甲方,甲方仍然需要乙方交货的，乙方迟延交货的不按违约处理，如乙方延迟通知的，将按照迟延交货处理。</w:t>
      </w:r>
    </w:p>
    <w:p>
      <w:pPr>
        <w:tabs>
          <w:tab w:val="left" w:pos="360"/>
        </w:tabs>
        <w:spacing w:line="360" w:lineRule="auto"/>
        <w:ind w:firstLine="420" w:firstLineChars="200"/>
        <w:rPr>
          <w:rFonts w:ascii="宋体" w:hAnsi="宋体"/>
          <w:szCs w:val="22"/>
        </w:rPr>
      </w:pPr>
      <w:r>
        <w:rPr>
          <w:rFonts w:hint="eastAsia" w:ascii="宋体" w:hAnsi="宋体"/>
          <w:szCs w:val="22"/>
        </w:rPr>
        <w:t>6、乙方交付的货品导致甲方员工或任何第三方身体出现不适或患疾病等情况的，经卫生防疫部门确定为乙方责任的，乙方需承担由此产生的全部费用及相应法律责任。如非乙方责任的，乙方应协助甲方或受害方处理索赔事宜。</w:t>
      </w:r>
    </w:p>
    <w:p>
      <w:pPr>
        <w:tabs>
          <w:tab w:val="left" w:pos="360"/>
        </w:tabs>
        <w:spacing w:line="360" w:lineRule="auto"/>
        <w:ind w:firstLine="420" w:firstLineChars="200"/>
        <w:rPr>
          <w:rFonts w:ascii="宋体" w:hAnsi="宋体"/>
          <w:szCs w:val="22"/>
        </w:rPr>
      </w:pPr>
      <w:r>
        <w:rPr>
          <w:rFonts w:hint="eastAsia" w:ascii="宋体" w:hAnsi="宋体"/>
          <w:szCs w:val="22"/>
        </w:rPr>
        <w:t>7、乙方供应的货品若为国家公布的伪劣产品，应无条件更换，并承担由此产生的全部费用及相应法律责任。</w:t>
      </w:r>
    </w:p>
    <w:p>
      <w:pPr>
        <w:tabs>
          <w:tab w:val="left" w:pos="360"/>
        </w:tabs>
        <w:spacing w:line="360" w:lineRule="auto"/>
        <w:ind w:firstLine="420" w:firstLineChars="200"/>
        <w:rPr>
          <w:rFonts w:ascii="宋体" w:hAnsi="宋体"/>
          <w:szCs w:val="22"/>
        </w:rPr>
      </w:pPr>
      <w:r>
        <w:rPr>
          <w:rFonts w:hint="eastAsia" w:ascii="宋体" w:hAnsi="宋体"/>
          <w:szCs w:val="22"/>
        </w:rPr>
        <w:t>8、如乙方提供虚假、违法的商品合格证书、质检报告的，甲方有权单方解除合同，乙方除须返还甲方已支付款项外，还应向甲方支付合同总价款30%的违约金；如违约金不足以补偿甲方因此遭受的损失的，乙方应继续进行赔偿。</w:t>
      </w:r>
    </w:p>
    <w:p>
      <w:pPr>
        <w:tabs>
          <w:tab w:val="left" w:pos="360"/>
        </w:tabs>
        <w:spacing w:line="360" w:lineRule="auto"/>
        <w:ind w:firstLine="420" w:firstLineChars="200"/>
        <w:rPr>
          <w:rFonts w:ascii="宋体" w:hAnsi="宋体"/>
          <w:szCs w:val="22"/>
        </w:rPr>
      </w:pPr>
      <w:r>
        <w:rPr>
          <w:rFonts w:hint="eastAsia" w:ascii="宋体" w:hAnsi="宋体"/>
          <w:szCs w:val="22"/>
        </w:rPr>
        <w:t>9、如乙方不履行或不适当履行本合同下任何义务的，经甲方通知改正后10个工作日仍不纠正其行为，甲方有权单方解除本合同，乙方除须返还甲方已支付款项外，还应向甲方支付合同总价款10%的违约金；如违约金不足以补偿甲方因此遭受的损失，乙方应继续进行赔偿。</w:t>
      </w:r>
    </w:p>
    <w:p>
      <w:pPr>
        <w:tabs>
          <w:tab w:val="left" w:pos="360"/>
        </w:tabs>
        <w:spacing w:line="360" w:lineRule="auto"/>
        <w:ind w:firstLine="420" w:firstLineChars="200"/>
        <w:rPr>
          <w:rFonts w:ascii="宋体" w:hAnsi="宋体"/>
          <w:szCs w:val="22"/>
        </w:rPr>
      </w:pPr>
      <w:r>
        <w:rPr>
          <w:rFonts w:hint="eastAsia" w:ascii="宋体" w:hAnsi="宋体"/>
          <w:szCs w:val="22"/>
        </w:rPr>
        <w:t>10、乙方保证所交付的全部货物均是全新的、未经使用过的，用优质材料制作而成并完全符合甲方各项使用要求的质量合格的产品，如因货物质量问题或存在权利瑕疵而导致的任何人身或财产损害，由乙方自行承担所有责任，与甲方无关。</w:t>
      </w:r>
    </w:p>
    <w:p>
      <w:pPr>
        <w:tabs>
          <w:tab w:val="left" w:pos="360"/>
        </w:tabs>
        <w:spacing w:line="360" w:lineRule="auto"/>
        <w:ind w:firstLine="420" w:firstLineChars="200"/>
        <w:rPr>
          <w:rFonts w:ascii="宋体" w:hAnsi="宋体"/>
          <w:szCs w:val="22"/>
        </w:rPr>
      </w:pPr>
      <w:r>
        <w:rPr>
          <w:rFonts w:hint="eastAsia" w:ascii="宋体" w:hAnsi="宋体"/>
          <w:szCs w:val="22"/>
        </w:rPr>
        <w:t>11、在无乙方不履行或不适当履行本协议义务的情况下，甲方应在合同规定时间内，向乙方支付合同款项。</w:t>
      </w:r>
    </w:p>
    <w:p>
      <w:pPr>
        <w:tabs>
          <w:tab w:val="left" w:pos="360"/>
        </w:tabs>
        <w:spacing w:line="360" w:lineRule="auto"/>
        <w:ind w:firstLine="422" w:firstLineChars="200"/>
        <w:rPr>
          <w:rFonts w:hint="eastAsia" w:ascii="宋体" w:hAnsi="宋体" w:cs="SimSun-Identity-H"/>
          <w:b/>
          <w:bCs/>
          <w:kern w:val="0"/>
          <w:szCs w:val="21"/>
        </w:rPr>
      </w:pPr>
      <w:r>
        <w:rPr>
          <w:rFonts w:hint="eastAsia" w:ascii="宋体" w:hAnsi="宋体" w:cs="SimSun-Identity-H"/>
          <w:b/>
          <w:bCs/>
          <w:kern w:val="0"/>
          <w:szCs w:val="21"/>
        </w:rPr>
        <w:t>八、履约保证金</w:t>
      </w:r>
    </w:p>
    <w:p>
      <w:pPr>
        <w:tabs>
          <w:tab w:val="left" w:pos="360"/>
        </w:tabs>
        <w:spacing w:line="360" w:lineRule="auto"/>
        <w:ind w:firstLine="420" w:firstLineChars="200"/>
        <w:rPr>
          <w:rFonts w:hint="eastAsia" w:ascii="宋体" w:hAnsi="宋体"/>
          <w:szCs w:val="22"/>
          <w:lang w:val="en-US" w:eastAsia="zh-CN"/>
        </w:rPr>
      </w:pPr>
      <w:r>
        <w:rPr>
          <w:rFonts w:hint="eastAsia" w:ascii="宋体" w:hAnsi="宋体"/>
          <w:szCs w:val="22"/>
          <w:lang w:val="en-US" w:eastAsia="zh-CN"/>
        </w:rPr>
        <w:t>1、成交供应商在签订合同前，应一次性缴纳履约保证金人民币 50000.00 元（伍万元整）到采购方财务科。如发生违约可从履约保证金中扣除，于合同期满或合同中止后结算。</w:t>
      </w:r>
    </w:p>
    <w:p>
      <w:pPr>
        <w:tabs>
          <w:tab w:val="left" w:pos="360"/>
        </w:tabs>
        <w:spacing w:line="360" w:lineRule="auto"/>
        <w:ind w:firstLine="420" w:firstLineChars="200"/>
        <w:rPr>
          <w:rFonts w:hint="eastAsia" w:ascii="宋体" w:hAnsi="宋体"/>
          <w:szCs w:val="22"/>
          <w:lang w:val="en-US" w:eastAsia="zh-CN"/>
        </w:rPr>
      </w:pPr>
      <w:r>
        <w:rPr>
          <w:rFonts w:hint="eastAsia" w:ascii="宋体" w:hAnsi="宋体"/>
          <w:szCs w:val="22"/>
          <w:lang w:val="en-US" w:eastAsia="zh-CN"/>
        </w:rPr>
        <w:t>2、如果成交供应商没有按采购规定签订采购合同并提交履约保证金，则视为自动放弃成交资格。</w:t>
      </w:r>
    </w:p>
    <w:p>
      <w:pPr>
        <w:tabs>
          <w:tab w:val="left" w:pos="360"/>
        </w:tabs>
        <w:spacing w:line="360" w:lineRule="auto"/>
        <w:ind w:firstLine="420" w:firstLineChars="200"/>
        <w:rPr>
          <w:rFonts w:hint="eastAsia" w:ascii="宋体" w:hAnsi="宋体"/>
          <w:szCs w:val="22"/>
          <w:lang w:val="en-US" w:eastAsia="zh-CN"/>
        </w:rPr>
      </w:pPr>
      <w:r>
        <w:rPr>
          <w:rFonts w:hint="eastAsia" w:ascii="宋体" w:hAnsi="宋体"/>
          <w:szCs w:val="22"/>
          <w:lang w:val="en-US" w:eastAsia="zh-CN"/>
        </w:rPr>
        <w:t>3、在供应商按合同要求全部完成规定的本项目，采购方将把履约保证金无息全额退还给成交供应商。</w:t>
      </w:r>
    </w:p>
    <w:p>
      <w:pPr>
        <w:pStyle w:val="2"/>
        <w:rPr>
          <w:rFonts w:ascii="宋体" w:hAnsi="宋体" w:cs="Times New Roman"/>
        </w:rPr>
      </w:pPr>
    </w:p>
    <w:p>
      <w:pPr>
        <w:tabs>
          <w:tab w:val="left" w:pos="360"/>
        </w:tabs>
        <w:spacing w:line="360" w:lineRule="auto"/>
        <w:ind w:firstLine="422" w:firstLineChars="200"/>
        <w:rPr>
          <w:rFonts w:ascii="宋体" w:hAnsi="宋体" w:cs="SimSun-Identity-H"/>
          <w:b/>
          <w:bCs/>
          <w:kern w:val="0"/>
          <w:szCs w:val="21"/>
        </w:rPr>
      </w:pPr>
      <w:r>
        <w:rPr>
          <w:rFonts w:hint="eastAsia" w:ascii="宋体" w:hAnsi="宋体" w:cs="SimSun-Identity-H"/>
          <w:b/>
          <w:bCs/>
          <w:kern w:val="0"/>
          <w:szCs w:val="21"/>
        </w:rPr>
        <w:t>九、争议的解决</w:t>
      </w:r>
    </w:p>
    <w:p>
      <w:pPr>
        <w:tabs>
          <w:tab w:val="left" w:pos="360"/>
        </w:tabs>
        <w:spacing w:line="360" w:lineRule="auto"/>
        <w:ind w:firstLine="420" w:firstLineChars="200"/>
        <w:rPr>
          <w:rFonts w:ascii="宋体" w:hAnsi="宋体" w:cs="SimSun-Identity-H"/>
          <w:kern w:val="0"/>
          <w:szCs w:val="21"/>
        </w:rPr>
      </w:pPr>
      <w:r>
        <w:rPr>
          <w:rFonts w:hint="eastAsia" w:ascii="宋体" w:hAnsi="宋体" w:cs="SimSun-Identity-H"/>
          <w:kern w:val="0"/>
          <w:szCs w:val="21"/>
        </w:rPr>
        <w:t>签约双方在履约中发生争执和分歧，双方应通过友好协商解决，若经协商不能达成一致时，任一方可向甲方所在地的人民法院提起诉讼。受理期间，争议事项的解决，不影响合同其余部分的履行。</w:t>
      </w:r>
    </w:p>
    <w:p>
      <w:pPr>
        <w:tabs>
          <w:tab w:val="left" w:pos="360"/>
        </w:tabs>
        <w:spacing w:line="360" w:lineRule="auto"/>
        <w:ind w:firstLine="421"/>
        <w:rPr>
          <w:rFonts w:ascii="宋体" w:hAnsi="宋体" w:cs="SimSun-Identity-H"/>
          <w:b/>
          <w:bCs/>
          <w:kern w:val="0"/>
          <w:szCs w:val="21"/>
        </w:rPr>
      </w:pPr>
      <w:r>
        <w:rPr>
          <w:rFonts w:hint="eastAsia" w:ascii="宋体" w:hAnsi="宋体" w:cs="SimSun-Identity-H"/>
          <w:b/>
          <w:bCs/>
          <w:kern w:val="0"/>
          <w:szCs w:val="21"/>
        </w:rPr>
        <w:t>十、其他</w:t>
      </w:r>
      <w:bookmarkEnd w:id="14"/>
      <w:bookmarkEnd w:id="15"/>
      <w:bookmarkEnd w:id="16"/>
      <w:bookmarkEnd w:id="17"/>
      <w:bookmarkEnd w:id="18"/>
      <w:bookmarkEnd w:id="19"/>
    </w:p>
    <w:p>
      <w:pPr>
        <w:spacing w:line="360" w:lineRule="auto"/>
        <w:ind w:firstLine="420" w:firstLineChars="200"/>
        <w:rPr>
          <w:rFonts w:ascii="宋体" w:hAnsi="宋体"/>
        </w:rPr>
      </w:pPr>
      <w:r>
        <w:rPr>
          <w:rFonts w:hint="eastAsia" w:ascii="宋体" w:hAnsi="宋体"/>
        </w:rPr>
        <w:t>1、本合同经双方法定代表人或其授权代表签字并加盖单位合同专用章或公章之日起生效，至本合同双方义务履行完毕之日终止；</w:t>
      </w:r>
    </w:p>
    <w:p>
      <w:pPr>
        <w:spacing w:line="360" w:lineRule="auto"/>
        <w:ind w:firstLine="420" w:firstLineChars="200"/>
        <w:rPr>
          <w:rFonts w:ascii="宋体" w:hAnsi="宋体"/>
        </w:rPr>
      </w:pPr>
      <w:r>
        <w:rPr>
          <w:rFonts w:hint="eastAsia" w:ascii="宋体" w:hAnsi="宋体"/>
        </w:rPr>
        <w:t>2、除甲方事先书面同意外，乙方不得部分或全部转让其应履行的合同项下的义务。</w:t>
      </w:r>
    </w:p>
    <w:p>
      <w:pPr>
        <w:spacing w:line="360" w:lineRule="auto"/>
        <w:ind w:firstLine="420" w:firstLineChars="200"/>
        <w:rPr>
          <w:rFonts w:ascii="宋体" w:hAnsi="宋体"/>
        </w:rPr>
      </w:pPr>
      <w:r>
        <w:rPr>
          <w:rFonts w:hint="eastAsia" w:ascii="宋体" w:hAnsi="宋体"/>
        </w:rPr>
        <w:t>3、本合同一式  份，甲方执  份，乙方执  份，均具有同等法律效力。</w:t>
      </w:r>
    </w:p>
    <w:p>
      <w:pPr>
        <w:tabs>
          <w:tab w:val="left" w:pos="4500"/>
        </w:tabs>
        <w:spacing w:after="120" w:line="360" w:lineRule="auto"/>
        <w:rPr>
          <w:rFonts w:ascii="宋体" w:hAnsi="宋体"/>
          <w:szCs w:val="22"/>
        </w:rPr>
      </w:pPr>
    </w:p>
    <w:p>
      <w:pPr>
        <w:tabs>
          <w:tab w:val="left" w:pos="4710"/>
        </w:tabs>
        <w:spacing w:line="380" w:lineRule="exact"/>
        <w:rPr>
          <w:rFonts w:hint="eastAsia"/>
          <w:szCs w:val="22"/>
        </w:rPr>
      </w:pPr>
      <w:r>
        <w:rPr>
          <w:rFonts w:hint="eastAsia"/>
          <w:szCs w:val="22"/>
        </w:rPr>
        <w:t>甲方（盖章）：</w:t>
      </w:r>
      <w:r>
        <w:rPr>
          <w:rFonts w:hint="eastAsia"/>
          <w:b/>
          <w:szCs w:val="22"/>
          <w:u w:val="single"/>
        </w:rPr>
        <w:t>广东省人民医院工会委员会</w:t>
      </w:r>
      <w:r>
        <w:rPr>
          <w:rFonts w:hint="eastAsia"/>
          <w:szCs w:val="22"/>
        </w:rPr>
        <w:tab/>
      </w:r>
      <w:r>
        <w:rPr>
          <w:rFonts w:hint="eastAsia"/>
          <w:szCs w:val="22"/>
        </w:rPr>
        <w:t>乙方（盖章）：</w:t>
      </w:r>
    </w:p>
    <w:p>
      <w:pPr>
        <w:tabs>
          <w:tab w:val="left" w:pos="4710"/>
        </w:tabs>
        <w:spacing w:line="380" w:lineRule="exact"/>
        <w:rPr>
          <w:szCs w:val="22"/>
        </w:rPr>
      </w:pPr>
      <w:r>
        <w:rPr>
          <w:rFonts w:hint="eastAsia"/>
          <w:szCs w:val="22"/>
        </w:rPr>
        <w:t>签约代表（签字）：</w:t>
      </w:r>
      <w:r>
        <w:rPr>
          <w:rFonts w:hint="eastAsia"/>
          <w:szCs w:val="22"/>
        </w:rPr>
        <w:tab/>
      </w:r>
      <w:r>
        <w:rPr>
          <w:rFonts w:hint="eastAsia"/>
          <w:szCs w:val="22"/>
        </w:rPr>
        <w:t>签约代表（签字）：</w:t>
      </w:r>
    </w:p>
    <w:p>
      <w:pPr>
        <w:tabs>
          <w:tab w:val="left" w:pos="4710"/>
        </w:tabs>
        <w:spacing w:line="380" w:lineRule="exact"/>
        <w:rPr>
          <w:szCs w:val="22"/>
        </w:rPr>
      </w:pPr>
      <w:r>
        <w:rPr>
          <w:rFonts w:hint="eastAsia"/>
          <w:szCs w:val="22"/>
        </w:rPr>
        <w:t>地址：</w:t>
      </w:r>
      <w:r>
        <w:rPr>
          <w:rFonts w:hint="eastAsia"/>
          <w:szCs w:val="22"/>
        </w:rPr>
        <w:tab/>
      </w:r>
      <w:r>
        <w:rPr>
          <w:rFonts w:hint="eastAsia"/>
          <w:szCs w:val="22"/>
        </w:rPr>
        <w:t>地址：</w:t>
      </w:r>
    </w:p>
    <w:p>
      <w:pPr>
        <w:tabs>
          <w:tab w:val="left" w:pos="4710"/>
        </w:tabs>
        <w:spacing w:line="380" w:lineRule="exact"/>
        <w:rPr>
          <w:szCs w:val="22"/>
        </w:rPr>
      </w:pPr>
      <w:r>
        <w:rPr>
          <w:rFonts w:hint="eastAsia"/>
          <w:szCs w:val="22"/>
        </w:rPr>
        <w:t>邮政编码：</w:t>
      </w:r>
      <w:r>
        <w:rPr>
          <w:rFonts w:hint="eastAsia"/>
          <w:szCs w:val="22"/>
        </w:rPr>
        <w:tab/>
      </w:r>
      <w:r>
        <w:rPr>
          <w:rFonts w:hint="eastAsia"/>
          <w:szCs w:val="22"/>
        </w:rPr>
        <w:t>邮政编码：</w:t>
      </w:r>
    </w:p>
    <w:p>
      <w:pPr>
        <w:tabs>
          <w:tab w:val="left" w:pos="4710"/>
        </w:tabs>
        <w:spacing w:line="380" w:lineRule="exact"/>
        <w:rPr>
          <w:szCs w:val="22"/>
        </w:rPr>
      </w:pPr>
      <w:r>
        <w:rPr>
          <w:rFonts w:hint="eastAsia"/>
          <w:szCs w:val="22"/>
        </w:rPr>
        <w:t>电话：</w:t>
      </w:r>
      <w:r>
        <w:rPr>
          <w:rFonts w:hint="eastAsia"/>
          <w:szCs w:val="22"/>
        </w:rPr>
        <w:tab/>
      </w:r>
      <w:r>
        <w:rPr>
          <w:rFonts w:hint="eastAsia"/>
          <w:szCs w:val="22"/>
        </w:rPr>
        <w:t>电话：</w:t>
      </w:r>
    </w:p>
    <w:p>
      <w:pPr>
        <w:tabs>
          <w:tab w:val="left" w:pos="4710"/>
        </w:tabs>
        <w:spacing w:line="380" w:lineRule="exact"/>
        <w:rPr>
          <w:szCs w:val="22"/>
        </w:rPr>
      </w:pPr>
      <w:r>
        <w:rPr>
          <w:rFonts w:hint="eastAsia"/>
          <w:szCs w:val="22"/>
        </w:rPr>
        <w:t>传真：</w:t>
      </w:r>
      <w:r>
        <w:rPr>
          <w:rFonts w:hint="eastAsia"/>
          <w:szCs w:val="22"/>
        </w:rPr>
        <w:tab/>
      </w:r>
      <w:r>
        <w:rPr>
          <w:rFonts w:hint="eastAsia"/>
          <w:szCs w:val="22"/>
        </w:rPr>
        <w:t>传真：</w:t>
      </w:r>
    </w:p>
    <w:p>
      <w:pPr>
        <w:spacing w:line="380" w:lineRule="exact"/>
      </w:pPr>
      <w:r>
        <w:rPr>
          <w:rFonts w:hint="eastAsia"/>
          <w:szCs w:val="22"/>
        </w:rPr>
        <w:t>签约日期：   年   月   日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2A"/>
    <w:rsid w:val="0003565F"/>
    <w:rsid w:val="002D78E2"/>
    <w:rsid w:val="00392AE3"/>
    <w:rsid w:val="005633E2"/>
    <w:rsid w:val="005B42BA"/>
    <w:rsid w:val="006C742A"/>
    <w:rsid w:val="00772CDB"/>
    <w:rsid w:val="008A3BBF"/>
    <w:rsid w:val="009065E6"/>
    <w:rsid w:val="00B82155"/>
    <w:rsid w:val="00F23CA8"/>
    <w:rsid w:val="00F5069E"/>
    <w:rsid w:val="00F74B77"/>
    <w:rsid w:val="00FA6583"/>
    <w:rsid w:val="020004EA"/>
    <w:rsid w:val="02440C32"/>
    <w:rsid w:val="038F4D0E"/>
    <w:rsid w:val="04D33BDE"/>
    <w:rsid w:val="08E60503"/>
    <w:rsid w:val="0A1C6E06"/>
    <w:rsid w:val="0CBF67EF"/>
    <w:rsid w:val="0F273C17"/>
    <w:rsid w:val="14764D88"/>
    <w:rsid w:val="18C13170"/>
    <w:rsid w:val="1BB71387"/>
    <w:rsid w:val="20290B5A"/>
    <w:rsid w:val="27440E74"/>
    <w:rsid w:val="27BF1034"/>
    <w:rsid w:val="28A423C3"/>
    <w:rsid w:val="2B0D6589"/>
    <w:rsid w:val="2CCC0876"/>
    <w:rsid w:val="2F3039C1"/>
    <w:rsid w:val="3F86064C"/>
    <w:rsid w:val="47B257F2"/>
    <w:rsid w:val="4C2D3A43"/>
    <w:rsid w:val="4F1F6D56"/>
    <w:rsid w:val="50D86D79"/>
    <w:rsid w:val="5ACF3B1C"/>
    <w:rsid w:val="5D653009"/>
    <w:rsid w:val="5E1F5D30"/>
    <w:rsid w:val="66561E40"/>
    <w:rsid w:val="6A5947CE"/>
    <w:rsid w:val="6D766ADD"/>
    <w:rsid w:val="7A10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evergrande</Company>
  <Pages>5</Pages>
  <Words>524</Words>
  <Characters>2991</Characters>
  <Lines>24</Lines>
  <Paragraphs>7</Paragraphs>
  <TotalTime>0</TotalTime>
  <ScaleCrop>false</ScaleCrop>
  <LinksUpToDate>false</LinksUpToDate>
  <CharactersWithSpaces>3508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2020-06-01T08:49:00Z</dcterms:created>
  <dc:creator>netuser</dc:creator>
  <cp:lastModifiedBy>舜娟</cp:lastModifiedBy>
  <dcterms:modified xsi:type="dcterms:W3CDTF">2020-08-05T08:25:41Z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